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牵头行报价单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活力区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牵头行报价单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青岛创新创业活力区投资有限公司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活力区项目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银团牵头行征询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相关报价条款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488"/>
        <w:gridCol w:w="167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青岛创新创业活力区投资有限公司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活力区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、宽限期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不低于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不高于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其他事项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我行承诺，将严格信守以上条件并履约执行</w:t>
      </w:r>
      <w:r>
        <w:rPr>
          <w:rFonts w:hint="eastAsia" w:ascii="仿宋_GB2312" w:eastAsia="仿宋_GB2312"/>
          <w:sz w:val="32"/>
          <w:szCs w:val="32"/>
          <w:lang w:eastAsia="zh-CN"/>
        </w:rPr>
        <w:t>。并指定由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支行承办贵司该项业务。该报价利率以报价当日的LPR基准利率为主。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***银行***分行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5C536699"/>
    <w:rsid w:val="5C536699"/>
    <w:rsid w:val="66E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224</Characters>
  <Lines>0</Lines>
  <Paragraphs>0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2023-08-31T03:17:00Z</dcterms:created>
  <dc:creator>晓晖</dc:creator>
  <cp:lastModifiedBy>WPS_1614601428</cp:lastModifiedBy>
  <dcterms:modified xsi:type="dcterms:W3CDTF">2023-09-08T02:55:41Z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9A7A38C4BA3346B393D2AB666D94B499_11</vt:lpwstr>
  </property>
</Properties>
</file>