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融资方案表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青岛李沧房投置业投资有限公司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青岛李沧房投置业投资有限公司公共租赁住房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贷款融资方案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条件如下：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499"/>
        <w:gridCol w:w="168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青岛李沧房投置业投资有限公司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期限（年）及额度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不低于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贷款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额度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不低于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（亿元）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利率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不高于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年期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不高于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none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）***BP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资本金比例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不高于总投资百分比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XX公司担保或抵押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承诺，将严格信守以上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融资计划</w:t>
      </w:r>
      <w:r>
        <w:rPr>
          <w:rFonts w:hint="eastAsia" w:ascii="仿宋_GB2312" w:eastAsia="仿宋_GB2312"/>
          <w:sz w:val="32"/>
          <w:szCs w:val="32"/>
        </w:rPr>
        <w:t>并履约执行。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该报价利率以报价当日的LPR基准利率为主。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520" w:firstLineChars="110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righ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64D55CC9"/>
    <w:rsid w:val="64D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2023-10-09T02:08:00Z</dcterms:created>
  <dc:creator>WPS_1614601428</dc:creator>
  <cp:lastModifiedBy>WPS_1614601428</cp:lastModifiedBy>
  <dcterms:modified xsi:type="dcterms:W3CDTF">2023-10-09T02:08:21Z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308DF295614F41D5B618360449AACEA2_11</vt:lpwstr>
  </property>
</Properties>
</file>