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融资方案表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致：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青岛建融置业投资有限公司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司</w:t>
      </w:r>
      <w:r>
        <w:rPr>
          <w:rFonts w:hint="eastAsia" w:ascii="仿宋_GB2312" w:hAnsi="仿宋_GB2312" w:eastAsia="仿宋_GB2312" w:cs="仿宋_GB2312"/>
          <w:sz w:val="32"/>
          <w:szCs w:val="32"/>
        </w:rPr>
        <w:t>拟参与</w:t>
      </w:r>
      <w:r>
        <w:rPr>
          <w:rFonts w:hint="eastAsia" w:ascii="仿宋_GB2312" w:eastAsia="仿宋_GB2312"/>
          <w:sz w:val="32"/>
          <w:szCs w:val="32"/>
        </w:rPr>
        <w:t>青岛建融置业投资有限公司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租赁住房贷款融资方案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融资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条件如下：</w:t>
      </w:r>
    </w:p>
    <w:tbl>
      <w:tblPr>
        <w:tblStyle w:val="4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3"/>
        <w:gridCol w:w="1499"/>
        <w:gridCol w:w="1683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3223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融资</w:t>
            </w: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  <w:lang w:val="en-US" w:eastAsia="zh-CN"/>
              </w:rPr>
              <w:t>机构</w:t>
            </w:r>
          </w:p>
        </w:tc>
        <w:tc>
          <w:tcPr>
            <w:tcW w:w="5717" w:type="dxa"/>
            <w:gridSpan w:val="3"/>
            <w:vAlign w:val="center"/>
          </w:tcPr>
          <w:p>
            <w:pPr>
              <w:widowContro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  <w:t>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3223" w:type="dxa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借款人</w:t>
            </w:r>
          </w:p>
        </w:tc>
        <w:tc>
          <w:tcPr>
            <w:tcW w:w="5717" w:type="dxa"/>
            <w:gridSpan w:val="3"/>
            <w:vAlign w:val="center"/>
          </w:tcPr>
          <w:p>
            <w:pPr>
              <w:widowContro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青岛建融置业投资有限公司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3223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5717" w:type="dxa"/>
            <w:gridSpan w:val="3"/>
            <w:vAlign w:val="center"/>
          </w:tcPr>
          <w:p>
            <w:pPr>
              <w:widowControl w:val="0"/>
              <w:rPr>
                <w:rFonts w:hint="default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3223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  <w:lang w:eastAsia="zh-CN"/>
              </w:rPr>
              <w:t>融资</w:t>
            </w: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期限（年）及额度</w:t>
            </w:r>
          </w:p>
        </w:tc>
        <w:tc>
          <w:tcPr>
            <w:tcW w:w="1499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期限</w:t>
            </w: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  <w:lang w:val="en-US" w:eastAsia="zh-CN"/>
              </w:rPr>
              <w:t>不低于</w:t>
            </w:r>
          </w:p>
        </w:tc>
        <w:tc>
          <w:tcPr>
            <w:tcW w:w="1683" w:type="dxa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  <w:lang w:val="en-US" w:eastAsia="zh-CN"/>
              </w:rPr>
              <w:t>贷款</w:t>
            </w: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额度</w:t>
            </w: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  <w:lang w:val="en-US" w:eastAsia="zh-CN"/>
              </w:rPr>
              <w:t>不低于</w:t>
            </w: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（亿元）</w:t>
            </w:r>
          </w:p>
        </w:tc>
        <w:tc>
          <w:tcPr>
            <w:tcW w:w="253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利率</w:t>
            </w: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  <w:lang w:val="en-US" w:eastAsia="zh-CN"/>
              </w:rPr>
              <w:t>不高于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3223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 w:val="0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年期</w:t>
            </w:r>
          </w:p>
        </w:tc>
        <w:tc>
          <w:tcPr>
            <w:tcW w:w="1683" w:type="dxa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2535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不高于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年期LPR浮动（</w:t>
            </w:r>
            <w:r>
              <w:rPr>
                <w:rFonts w:hint="eastAsia" w:ascii="华文隶书" w:hAnsi="华文隶书" w:eastAsia="华文隶书" w:cs="华文隶书"/>
                <w:sz w:val="28"/>
                <w:szCs w:val="28"/>
                <w:highlight w:val="none"/>
              </w:rPr>
              <w:t>+/-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）***BP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3223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Calibri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  <w:lang w:val="en-US" w:eastAsia="zh-CN"/>
              </w:rPr>
              <w:t>资本金比例</w:t>
            </w:r>
          </w:p>
        </w:tc>
        <w:tc>
          <w:tcPr>
            <w:tcW w:w="5717" w:type="dxa"/>
            <w:gridSpan w:val="3"/>
            <w:vAlign w:val="center"/>
          </w:tcPr>
          <w:p>
            <w:pPr>
              <w:widowControl w:val="0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不高于总投资百分比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3223" w:type="dxa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担保方式</w:t>
            </w:r>
          </w:p>
        </w:tc>
        <w:tc>
          <w:tcPr>
            <w:tcW w:w="5717" w:type="dxa"/>
            <w:gridSpan w:val="3"/>
            <w:vAlign w:val="center"/>
          </w:tcPr>
          <w:p>
            <w:pPr>
              <w:widowControl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3223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  <w:lang w:eastAsia="zh-CN"/>
              </w:rPr>
              <w:t>融资</w:t>
            </w: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用途</w:t>
            </w:r>
          </w:p>
        </w:tc>
        <w:tc>
          <w:tcPr>
            <w:tcW w:w="5717" w:type="dxa"/>
            <w:gridSpan w:val="3"/>
            <w:vAlign w:val="center"/>
          </w:tcPr>
          <w:p>
            <w:pPr>
              <w:widowControl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司</w:t>
      </w:r>
      <w:r>
        <w:rPr>
          <w:rFonts w:hint="eastAsia" w:ascii="仿宋_GB2312" w:eastAsia="仿宋_GB2312"/>
          <w:sz w:val="32"/>
          <w:szCs w:val="32"/>
        </w:rPr>
        <w:t>承诺，将严格信守以上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融资计划</w:t>
      </w:r>
      <w:r>
        <w:rPr>
          <w:rFonts w:hint="eastAsia" w:ascii="仿宋_GB2312" w:eastAsia="仿宋_GB2312"/>
          <w:sz w:val="32"/>
          <w:szCs w:val="32"/>
        </w:rPr>
        <w:t>并履约执行。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该报价利率以报价当日的LPR基准利率为主。</w:t>
      </w:r>
    </w:p>
    <w:p>
      <w:pPr>
        <w:spacing w:line="560" w:lineRule="exact"/>
        <w:ind w:firstLine="3520" w:firstLineChars="1100"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XXXX</w:t>
      </w:r>
    </w:p>
    <w:p>
      <w:pPr>
        <w:spacing w:line="560" w:lineRule="exact"/>
        <w:ind w:firstLine="64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  月   日</w:t>
      </w:r>
    </w:p>
    <w:tbl>
      <w:tblPr>
        <w:tblStyle w:val="3"/>
        <w:tblW w:w="86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845"/>
        <w:gridCol w:w="1636"/>
        <w:gridCol w:w="3862"/>
        <w:gridCol w:w="14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融资方案评分要素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6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要素</w:t>
            </w:r>
          </w:p>
        </w:tc>
        <w:tc>
          <w:tcPr>
            <w:tcW w:w="54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评价内容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9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69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24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对地铁集团整体的授信额度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大于等于100亿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8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小于100亿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担保方式</w:t>
            </w:r>
          </w:p>
        </w:tc>
        <w:tc>
          <w:tcPr>
            <w:tcW w:w="5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集团保证担保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置业、房投及下属子公司保证或抵押担保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无担保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综合金融服务能力</w:t>
            </w:r>
          </w:p>
        </w:tc>
        <w:tc>
          <w:tcPr>
            <w:tcW w:w="5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所属集团在青岛是否设有分支机构，可提供银行、保险、证券等综合性金融服务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金融机构的服务承诺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监管户/一般户协定存款利率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是否限定监管资金使用、转款及备偿要求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项目公司是否承担评估费、保险费等除利息以外的费用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银行存量贷款管理规模</w:t>
            </w:r>
          </w:p>
        </w:tc>
        <w:tc>
          <w:tcPr>
            <w:tcW w:w="5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高于2000亿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高于等于1000亿小于2000亿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低于1000亿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司</w:t>
      </w:r>
      <w:r>
        <w:rPr>
          <w:rFonts w:hint="eastAsia" w:ascii="仿宋_GB2312" w:eastAsia="仿宋_GB2312"/>
          <w:sz w:val="32"/>
          <w:szCs w:val="32"/>
        </w:rPr>
        <w:t>承诺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所填内容准确无误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否则本表无效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3520" w:firstLineChars="1100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3520" w:firstLineChars="1100"/>
        <w:jc w:val="righ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***银行***分行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right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</w:pPr>
      <w:r>
        <w:rPr>
          <w:rFonts w:hint="eastAsia" w:ascii="仿宋_GB2312" w:eastAsia="仿宋_GB2312"/>
          <w:sz w:val="32"/>
          <w:szCs w:val="32"/>
        </w:rPr>
        <w:t>经办人：****            联系电话：****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OTQ1YjFhNzQ1YjQyYWNiZDVlMGM0MzllYTg3YTkifQ=="/>
  </w:docVars>
  <w:rsids>
    <w:rsidRoot w:val="4DFA0039"/>
    <w:rsid w:val="4DFA0039"/>
    <w:rsid w:val="5177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unhideWhenUsed/>
    <w:qFormat/>
    <w:uiPriority w:val="99"/>
    <w:pPr>
      <w:spacing w:before="120" w:beforeLines="0" w:beforeAutospacing="0"/>
    </w:pPr>
    <w:rPr>
      <w:rFonts w:ascii="Arial" w:hAnsi="Arial"/>
      <w:sz w:val="24"/>
    </w:rPr>
  </w:style>
  <w:style w:type="table" w:styleId="4">
    <w:name w:val="Table Grid"/>
    <w:basedOn w:val="3"/>
    <w:qFormat/>
    <w:uiPriority w:val="9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2023-10-24T01:27:00Z</dcterms:created>
  <dc:creator>WPS_1614601428</dc:creator>
  <cp:lastModifiedBy>WPS_1614601428</cp:lastModifiedBy>
  <dcterms:modified xsi:type="dcterms:W3CDTF">2023-10-24T01:53:38Z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87A59D7EFF6C4545AD66E421084D3742_11</vt:lpwstr>
  </property>
</Properties>
</file>