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45" w:lineRule="atLeast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附件1：</w:t>
      </w:r>
    </w:p>
    <w:p>
      <w:pPr>
        <w:widowControl/>
        <w:spacing w:line="345" w:lineRule="atLeas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报价银行基本要求</w:t>
      </w:r>
    </w:p>
    <w:p>
      <w:pPr>
        <w:widowControl/>
        <w:spacing w:line="345" w:lineRule="atLeast"/>
        <w:jc w:val="center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</w:p>
    <w:p>
      <w:pPr>
        <w:pStyle w:val="10"/>
        <w:numPr>
          <w:ilvl w:val="0"/>
          <w:numId w:val="0"/>
        </w:numPr>
        <w:spacing w:line="240" w:lineRule="atLeast"/>
        <w:ind w:firstLine="566" w:firstLineChars="177"/>
        <w:rPr>
          <w:rFonts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1.在青岛市区域设有分支机构；</w:t>
      </w:r>
    </w:p>
    <w:p>
      <w:pPr>
        <w:pStyle w:val="10"/>
        <w:numPr>
          <w:ilvl w:val="0"/>
          <w:numId w:val="0"/>
        </w:numPr>
        <w:spacing w:line="240" w:lineRule="atLeast"/>
        <w:ind w:left="-4" w:leftChars="-2" w:firstLine="566" w:firstLineChars="177"/>
        <w:rPr>
          <w:rFonts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2.依法开展经营活动，银监部门年度监管评级2级以上或人民银行年度综合评价B级以上；</w:t>
      </w:r>
    </w:p>
    <w:p>
      <w:pPr>
        <w:pStyle w:val="10"/>
        <w:numPr>
          <w:ilvl w:val="0"/>
          <w:numId w:val="0"/>
        </w:numPr>
        <w:spacing w:line="240" w:lineRule="atLeast"/>
        <w:ind w:left="2" w:firstLine="579" w:firstLineChars="181"/>
        <w:rPr>
          <w:rFonts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3. 财务稳健，资本充足率、流动性比例等指标达到监管标准；</w:t>
      </w:r>
    </w:p>
    <w:p>
      <w:pPr>
        <w:pStyle w:val="10"/>
        <w:numPr>
          <w:ilvl w:val="0"/>
          <w:numId w:val="0"/>
        </w:numPr>
        <w:spacing w:line="240" w:lineRule="atLeast"/>
        <w:ind w:firstLine="566" w:firstLineChars="177"/>
        <w:rPr>
          <w:rFonts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4.内部管理机制健全，具有较强的风险控制能力，近3年内未发生金融风险及重大违约事件。</w:t>
      </w:r>
    </w:p>
    <w:p>
      <w:pPr>
        <w:pStyle w:val="10"/>
        <w:numPr>
          <w:ilvl w:val="0"/>
          <w:numId w:val="0"/>
        </w:numPr>
        <w:spacing w:line="240" w:lineRule="atLeast"/>
        <w:ind w:firstLine="566" w:firstLineChars="177"/>
        <w:rPr>
          <w:rFonts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5.与集团及分子公司存在战略合作关系或存在融资等业务往来，包括但不限于银行贷款等间接融资业务及发行企业债、中票、融资租赁等直接融资业务的银行业金融机构及其分支机构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val="en-US" w:eastAsia="zh-CN"/>
        </w:rPr>
        <w:t>且集团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val="en-US" w:eastAsia="zh-Hans"/>
        </w:rPr>
        <w:t>在该金融机构已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val="en-US" w:eastAsia="zh-CN"/>
        </w:rPr>
        <w:t>开立银行账户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。同一金融机构仅能授权一家分支机构参与，多家分支机构同时参与的，以金融机构授权委托书为准。</w:t>
      </w:r>
    </w:p>
    <w:p>
      <w:pPr>
        <w:widowControl/>
        <w:spacing w:line="345" w:lineRule="atLeast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</w:p>
    <w:p>
      <w:pPr>
        <w:pStyle w:val="10"/>
        <w:numPr>
          <w:ilvl w:val="0"/>
          <w:numId w:val="0"/>
        </w:numPr>
        <w:spacing w:line="240" w:lineRule="atLeast"/>
        <w:ind w:firstLine="566" w:firstLineChars="177"/>
        <w:rPr>
          <w:rFonts w:ascii="仿宋_GB2312" w:hAnsi="Arial" w:eastAsia="仿宋_GB2312" w:cs="Arial"/>
          <w:color w:val="000000"/>
          <w:sz w:val="32"/>
          <w:szCs w:val="32"/>
        </w:rPr>
      </w:pPr>
    </w:p>
    <w:p>
      <w:pPr>
        <w:widowControl/>
        <w:spacing w:line="345" w:lineRule="atLeast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</w:p>
    <w:p>
      <w:pPr>
        <w:widowControl/>
        <w:spacing w:line="345" w:lineRule="atLeast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</w:p>
    <w:p>
      <w:pPr>
        <w:widowControl/>
        <w:spacing w:line="345" w:lineRule="atLeast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</w:p>
    <w:p>
      <w:pPr>
        <w:jc w:val="left"/>
        <w:rPr>
          <w:rFonts w:hint="eastAsia" w:ascii="仿宋_GB2312" w:hAnsi="Arial" w:eastAsia="仿宋_GB2312" w:cs="Arial"/>
          <w:color w:val="00000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808DE"/>
    <w:multiLevelType w:val="multilevel"/>
    <w:tmpl w:val="7EC808DE"/>
    <w:lvl w:ilvl="0" w:tentative="0">
      <w:start w:val="2"/>
      <w:numFmt w:val="lowerLetter"/>
      <w:pStyle w:val="10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B94"/>
    <w:rsid w:val="00020BE6"/>
    <w:rsid w:val="00066BAF"/>
    <w:rsid w:val="000A3C84"/>
    <w:rsid w:val="000B0E3A"/>
    <w:rsid w:val="000B2587"/>
    <w:rsid w:val="000D7C71"/>
    <w:rsid w:val="00237101"/>
    <w:rsid w:val="002371AA"/>
    <w:rsid w:val="00271A3F"/>
    <w:rsid w:val="002B6A7A"/>
    <w:rsid w:val="002E30EA"/>
    <w:rsid w:val="002E652A"/>
    <w:rsid w:val="003454D8"/>
    <w:rsid w:val="00367721"/>
    <w:rsid w:val="003707BC"/>
    <w:rsid w:val="00391570"/>
    <w:rsid w:val="003C5841"/>
    <w:rsid w:val="00464F57"/>
    <w:rsid w:val="00470BE9"/>
    <w:rsid w:val="00475960"/>
    <w:rsid w:val="004769B3"/>
    <w:rsid w:val="004857EC"/>
    <w:rsid w:val="004E5CB2"/>
    <w:rsid w:val="005B1C52"/>
    <w:rsid w:val="005D1F6A"/>
    <w:rsid w:val="005F0812"/>
    <w:rsid w:val="0060317F"/>
    <w:rsid w:val="00623C70"/>
    <w:rsid w:val="00664282"/>
    <w:rsid w:val="006940D4"/>
    <w:rsid w:val="006F1F3D"/>
    <w:rsid w:val="006F256A"/>
    <w:rsid w:val="00731BDC"/>
    <w:rsid w:val="00737525"/>
    <w:rsid w:val="00746C4C"/>
    <w:rsid w:val="007721B5"/>
    <w:rsid w:val="007B2642"/>
    <w:rsid w:val="007C1101"/>
    <w:rsid w:val="007D6F97"/>
    <w:rsid w:val="008360BC"/>
    <w:rsid w:val="00910943"/>
    <w:rsid w:val="00984E2C"/>
    <w:rsid w:val="009905FD"/>
    <w:rsid w:val="009B1EE1"/>
    <w:rsid w:val="00A25B83"/>
    <w:rsid w:val="00A5108B"/>
    <w:rsid w:val="00A61852"/>
    <w:rsid w:val="00A91A97"/>
    <w:rsid w:val="00AF356B"/>
    <w:rsid w:val="00B71387"/>
    <w:rsid w:val="00BF6FD9"/>
    <w:rsid w:val="00C00109"/>
    <w:rsid w:val="00C10B94"/>
    <w:rsid w:val="00C363C7"/>
    <w:rsid w:val="00C61BE6"/>
    <w:rsid w:val="00CA46D8"/>
    <w:rsid w:val="00CD0E26"/>
    <w:rsid w:val="00CD16C1"/>
    <w:rsid w:val="00D06BAA"/>
    <w:rsid w:val="00D13B3F"/>
    <w:rsid w:val="00D63251"/>
    <w:rsid w:val="00DA3972"/>
    <w:rsid w:val="00E80FE8"/>
    <w:rsid w:val="00E84D2E"/>
    <w:rsid w:val="00E918FB"/>
    <w:rsid w:val="00F03E55"/>
    <w:rsid w:val="00F07E76"/>
    <w:rsid w:val="00F4277E"/>
    <w:rsid w:val="00F95727"/>
    <w:rsid w:val="011011E9"/>
    <w:rsid w:val="02DE1A52"/>
    <w:rsid w:val="0885705F"/>
    <w:rsid w:val="097725B3"/>
    <w:rsid w:val="10EB633E"/>
    <w:rsid w:val="17081C08"/>
    <w:rsid w:val="31DA5A66"/>
    <w:rsid w:val="3FA35538"/>
    <w:rsid w:val="3FE4657E"/>
    <w:rsid w:val="450C177B"/>
    <w:rsid w:val="450D0399"/>
    <w:rsid w:val="4ECA2ABE"/>
    <w:rsid w:val="52536FE7"/>
    <w:rsid w:val="5C2426FD"/>
    <w:rsid w:val="643263CA"/>
    <w:rsid w:val="67016EC4"/>
    <w:rsid w:val="744F4F4F"/>
    <w:rsid w:val="7A415B63"/>
    <w:rsid w:val="7BB82EB7"/>
    <w:rsid w:val="DDFE2772"/>
    <w:rsid w:val="FFD70B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10">
    <w:name w:val="字母编号列项（一级）"/>
    <w:qFormat/>
    <w:uiPriority w:val="0"/>
    <w:pPr>
      <w:numPr>
        <w:ilvl w:val="0"/>
        <w:numId w:val="1"/>
      </w:numPr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11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</Words>
  <Characters>543</Characters>
  <Lines>4</Lines>
  <Paragraphs>1</Paragraphs>
  <TotalTime>0</TotalTime>
  <ScaleCrop>false</ScaleCrop>
  <LinksUpToDate>false</LinksUpToDate>
  <CharactersWithSpaces>637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2017-10-10T17:09:00Z</dcterms:created>
  <dc:creator>杨曼宁</dc:creator>
  <cp:lastModifiedBy>节谄淳臼诠</cp:lastModifiedBy>
  <cp:lastPrinted>2022-11-30T10:18:00Z</cp:lastPrinted>
  <dcterms:modified xsi:type="dcterms:W3CDTF">2023-03-08T05:45:13Z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