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融资方案表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微软雅黑" w:eastAsia="仿宋_GB2312" w:cs="黑体"/>
          <w:kern w:val="0"/>
          <w:sz w:val="32"/>
          <w:szCs w:val="32"/>
          <w:lang w:val="en-US" w:eastAsia="zh-CN" w:bidi="ar"/>
        </w:rPr>
        <w:t>青铁金达置业投资有限公司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hAnsi="微软雅黑" w:eastAsia="仿宋_GB2312" w:cs="黑体"/>
          <w:kern w:val="0"/>
          <w:sz w:val="32"/>
          <w:szCs w:val="32"/>
          <w:lang w:val="en-US" w:eastAsia="zh-CN" w:bidi="ar"/>
        </w:rPr>
        <w:t>青铁金达置业投资有限公司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开发贷融资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黑体"/>
                <w:kern w:val="0"/>
                <w:sz w:val="32"/>
                <w:szCs w:val="32"/>
                <w:lang w:val="en-US" w:eastAsia="zh-CN" w:bidi="ar"/>
              </w:rPr>
              <w:t>青铁金达置业投资有限公司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汉川路地铁站项目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该报价利率以报价当日的LPR基准利率为主。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3"/>
        <w:tblW w:w="9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017"/>
        <w:gridCol w:w="6127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融资方案评分要素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要素</w:t>
            </w:r>
          </w:p>
        </w:tc>
        <w:tc>
          <w:tcPr>
            <w:tcW w:w="6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一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综合金融服务能力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监管户/一般户协定存款利率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贷款资金提款时效（1-2天、3-5天、6-10天）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项目公司是否承担评估费、保险费等除利息以外的费用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二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银行存量贷款是否存以下要求</w:t>
            </w: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是否存在销售款能够覆盖贷款的前提下，不配合提取监管资金及按揭撤押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除住建局要求的重点监管资金外，是否限定监管资金使用、转款及备偿要求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是否强制要求贷款受托支付收款方开立贷款行账户（总包、供应商、农民工工资等账户）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是否存在销售款加上贷款余额合计数超过借款合同金额时，强制要求还款并不配合后续提款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是否需要项目出具资本金到位的专项审计报告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按揭在贷款行办理的比例要求（100%-90%、90%-80%、80%以下、不限制）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所填内容准确无误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否则本表无效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***银行***分行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月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2024-03-14T03:21:32Z</dcterms:created>
  <dc:creator>华为</dc:creator>
  <cp:lastModifiedBy>华为</cp:lastModifiedBy>
  <dcterms:modified xsi:type="dcterms:W3CDTF">2024-03-14T03:21:53Z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15D57B689BFB4C4F9839DC661E8D8C4F</vt:lpwstr>
  </property>
</Properties>
</file>